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52400" cy="15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Cluade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Cormorant Garamond" w:hAnsi="Cormorant Garamond"/>
          <w:b/>
          <w:color w:val="B63A26"/>
          <w:sz w:val="36"/>
        </w:rPr>
        <w:t>Casus</w:t>
      </w:r>
      <w:r>
        <w:rPr>
          <w:rFonts w:ascii="Cormorant Garamond" w:hAnsi="Cormorant Garamond"/>
          <w:b/>
          <w:color w:val="655D50"/>
          <w:sz w:val="36"/>
        </w:rPr>
        <w:t>Legal</w:t>
      </w:r>
    </w:p>
    <w:p>
      <w:pPr>
        <w:spacing w:before="160" w:after="120"/>
      </w:pPr>
      <w:r>
        <w:rPr>
          <w:rFonts w:ascii="Cormorant Garamond" w:hAnsi="Cormorant Garamond"/>
          <w:b/>
          <w:color w:val="3F3931"/>
          <w:sz w:val="28"/>
        </w:rPr>
        <w:t>Тематический обзор Верховного Суда Российской Федерации № 12/2026., п. 20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Суд: </w:t>
      </w:r>
      <w:r>
        <w:rPr>
          <w:rFonts w:ascii="Inter" w:hAnsi="Inter"/>
          <w:color w:val="655D50"/>
          <w:sz w:val="18"/>
        </w:rPr>
        <w:t>Верховный Суд РФ (Президиум, обзор)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Дата: </w:t>
      </w:r>
      <w:r>
        <w:rPr>
          <w:rFonts w:ascii="Inter" w:hAnsi="Inter"/>
          <w:color w:val="655D50"/>
          <w:sz w:val="18"/>
        </w:rPr>
        <w:t>01.07.2026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Номер дела: </w:t>
      </w:r>
      <w:r>
        <w:rPr>
          <w:rFonts w:ascii="Inter" w:hAnsi="Inter"/>
          <w:color w:val="655D50"/>
          <w:sz w:val="18"/>
        </w:rPr>
        <w:t>12/2026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Нормы, упомянутые в тексте: </w:t>
      </w:r>
      <w:r>
        <w:rPr>
          <w:rFonts w:ascii="Inter" w:hAnsi="Inter"/>
          <w:color w:val="655D50"/>
          <w:sz w:val="18"/>
        </w:rPr>
        <w:t>ст. 165.1 ГК РФ, ст. 250 ГК РФ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Теги: </w:t>
      </w:r>
      <w:r>
        <w:rPr>
          <w:rFonts w:ascii="Inter" w:hAnsi="Inter"/>
          <w:color w:val="655D50"/>
          <w:sz w:val="18"/>
        </w:rPr>
        <w:t>Государственная регистрация прав, Нотариально удостоверенная сделка, пределы правовой экспертизы регистратора, Государственный регистратор, Преимущественное право покупки, Статья 250 ГК РФ, Статья 165.1 ГК РФ, ЕГРН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Позиция суда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Государственный регистратор не вправе в рамках правовой экспертизы документов проверять законность нотариально удостоверенного договора купли-продажи, а также ставить под сомнение права, возникающие на основании нотариально удостоверенной сделки.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Между Щ. (продавцом) и П. (покупателем) заключен договор купли-продажи ½ доли в праве собственности на три комнаты в четырехкомнатной квартире, который нотариально удостоверен. Росреестр зарегистрировал право собственности П. на указанное имущество.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Х. оспорил действия Росреестра, связанные с государственной регистрацией перехода к П права собственности на ½ долю в праве общей долевой собственности на квартиру. В обоснование указал, что является собственником ½ доли в праве общей долевой собственности на указанную квартиру, реализация спорной доли совершена в нарушение статьи 250 ГК РФ, устанавливающей преимущественное право покупки доли для остальных участников общей долевой собственности; Х. не был извещен о намерении реализовать указанную ½ долю в праве общей долевой собственности.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Отказывая в удовлетворении требований, суд исходил из следующего.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Согласно части 11 статьи 42 Закона о государственной регистрации недвижимости по общему правилу сделки по отчуждению долей в праве общей собственности на недвижимое имущество подлежат нотариальному удостоверению. При продаже доли в праве общей собственности лицу, не являющемуся участником общей долевой собственности, к заявлению о государственной регистрации прав прилагаются документы, подтверждающие, что продавец доли известил в письменной форме остальных участников долевой собственности о намерении продать свою долю с указанием цены и других условий, на которых продает ее (часть 4 этой же статьи).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силу статьи 165.1 ГК РФ заявления, уведомления, извещения, требования или иные юридически значимые сообщения, с которыми закон или сделка связывает гражданско-правовые последствия для другого лица, влекут для этого лица такие последствия с момента доставки соответствующего сообщения ему или его представителю. 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осуществлении государственной регистрации прав на недвижимое имущество на основании нотариально удостоверенной сделки проверка законности такого нотариально удостоверенного документа государственным регистратором прав не осуществляется (часть 2 статьи 59 Закона о государственной регистрации недвижимости).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Судом установлено, что запись о переходе права собственности на объект недвижимости внесена в ЕГРН на основании нотариально удостоверенной сделки. При удостоверении договора купли-продажи были представлены копии направленных Х. телеграмм о намерении продать принадлежащую Щ. ½ долю в праве собственности на три комнаты в четырехкомнатной квартире. Указанные телеграммы Х. не получены, квартира закрыта, адресат по извещению за телеграммой не явился.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 учетом этого Росреестр при рассмотрении заявлений Щ. и П. о государственной регистрации перехода права собственности был не вправе давать правовую оценку договору купли-продажи, удостоверенному нотариусом.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Иные положения акта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"Тематический обзор Верховного Суда Российской Федерации № 12/2026. По делам, связанным с оспариванием сделок, повлекших переход права собственности на жилые помещения", п. 20</w:t>
      </w:r>
    </w:p>
    <w:p>
      <w:pPr>
        <w:spacing w:before="360"/>
      </w:pPr>
      <w:r>
        <w:rPr>
          <w:rFonts w:ascii="Inter" w:hAnsi="Inter"/>
          <w:i/>
          <w:color w:val="8B8171"/>
          <w:sz w:val="15"/>
        </w:rPr>
        <w:t>Документ сформирован сервисом CasusLegal на основе официального текста судебного акта. Для использования в процессуальных целях сверяйтесь с официальными источниками опубликования.</w:t>
      </w:r>
    </w:p>
    <w:sectPr w:rsidR="00FC693F" w:rsidRPr="0006063C" w:rsidSect="00034616">
      <w:footerReference w:type="default" r:id="rId10"/>
      <w:pgSz w:w="12240" w:h="15840"/>
      <w:pgMar w:top="1157" w:right="1134" w:bottom="1157" w:left="158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762" w:val="center"/>
        <w:tab w:pos="9524" w:val="right"/>
      </w:tabs>
      <w:jc w:val="left"/>
    </w:pPr>
    <w:r>
      <w:tab/>
    </w:r>
    <w:hyperlink r:id="rId1">
      <w:r>
        <w:rPr>
          <w:rFonts w:ascii="Inter" w:hAnsi="Inter"/>
          <w:color w:val="B63A26"/>
          <w:sz w:val="16"/>
        </w:rPr>
        <w:t>@CasusLegalBot</w:t>
      </w:r>
    </w:hyperlink>
    <w:r>
      <w:tab/>
    </w:r>
    <w:r>
      <w:rPr>
        <w:rFonts w:ascii="Inter" w:hAnsi="Inter"/>
        <w:color w:val="8B8171"/>
        <w:sz w:val="24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color w:val="655D5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t.me/CasusLegal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CasusLegal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CasusLegal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Тематический обзор Верховного Суда Российской Федерации № 12/2026., п. 20</dc:title>
  <dc:subject/>
  <dc:creator>CasusLegal</dc:creator>
  <cp:keywords/>
  <dc:description/>
  <cp:lastModifiedBy>CasusLegal</cp:lastModifiedBy>
  <cp:revision>1</cp:revision>
  <dcterms:created xsi:type="dcterms:W3CDTF">2026-09-26T15:13:02Z</dcterms:created>
  <dcterms:modified xsi:type="dcterms:W3CDTF">2026-09-26T15:13:02Z</dcterms:modified>
  <cp:category/>
</cp:coreProperties>
</file>