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drawing>
          <wp:inline xmlns:a="http://schemas.openxmlformats.org/drawingml/2006/main" xmlns:pic="http://schemas.openxmlformats.org/drawingml/2006/picture">
            <wp:extent cx="152400" cy="1524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LCluade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rFonts w:ascii="Cormorant Garamond" w:hAnsi="Cormorant Garamond"/>
          <w:b/>
          <w:color w:val="B63A26"/>
          <w:sz w:val="36"/>
        </w:rPr>
        <w:t>Casus</w:t>
      </w:r>
      <w:r>
        <w:rPr>
          <w:rFonts w:ascii="Cormorant Garamond" w:hAnsi="Cormorant Garamond"/>
          <w:b/>
          <w:color w:val="655D50"/>
          <w:sz w:val="36"/>
        </w:rPr>
        <w:t>Legal</w:t>
      </w:r>
    </w:p>
    <w:p>
      <w:pPr>
        <w:spacing w:before="160" w:after="120"/>
      </w:pPr>
      <w:r>
        <w:rPr>
          <w:rFonts w:ascii="Cormorant Garamond" w:hAnsi="Cormorant Garamond"/>
          <w:b/>
          <w:color w:val="3F3931"/>
          <w:sz w:val="28"/>
        </w:rPr>
        <w:t>Тематический обзор Верховного Суда Российской Федерации № 12/2026., п. 18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Суд: </w:t>
      </w:r>
      <w:r>
        <w:rPr>
          <w:rFonts w:ascii="Inter" w:hAnsi="Inter"/>
          <w:color w:val="655D50"/>
          <w:sz w:val="18"/>
        </w:rPr>
        <w:t>Верховный Суд РФ (Президиум, обзор)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Дата: </w:t>
      </w:r>
      <w:r>
        <w:rPr>
          <w:rFonts w:ascii="Inter" w:hAnsi="Inter"/>
          <w:color w:val="655D50"/>
          <w:sz w:val="18"/>
        </w:rPr>
        <w:t>01.07.2026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Номер дела: </w:t>
      </w:r>
      <w:r>
        <w:rPr>
          <w:rFonts w:ascii="Inter" w:hAnsi="Inter"/>
          <w:color w:val="655D50"/>
          <w:sz w:val="18"/>
        </w:rPr>
        <w:t>12/2026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Теги: </w:t>
      </w:r>
      <w:r>
        <w:rPr>
          <w:rFonts w:ascii="Inter" w:hAnsi="Inter"/>
          <w:color w:val="655D50"/>
          <w:sz w:val="18"/>
        </w:rPr>
        <w:t>Государственная регистрация прав, невозможность регистрации без личного участия, ЕГРН, защита от мошенничества, личное участие собственника, Переход права собственности, отказ в регистрации, Недвижимое имущество</w:t>
      </w:r>
    </w:p>
    <w:p>
      <w:pPr>
        <w:spacing w:before="280" w:after="80"/>
      </w:pPr>
      <w:r>
        <w:rPr>
          <w:rFonts w:ascii="Cormorant Garamond" w:hAnsi="Cormorant Garamond"/>
          <w:b/>
          <w:color w:val="B63A26"/>
          <w:sz w:val="28"/>
        </w:rPr>
        <w:t>Позиция суда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Если в ЕГРН содержится отметка о невозможности государственной регистрации перехода права без личного участия собственника объекта недвижимости, такая регистрация не может быть осуществлена.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К. (продавец) через представителя заключил договор купли-продажи квартиры с Ф. (покупателем) и подал заявление о невозможности проведения регистрации перехода права на квартиру без его личного участия как собственника. Документы о регистрации сделки купли-продажи квартиры были переданы представителем в управление Росреестра на государственную регистрацию. Однако государственная регистрация была приостановлена в связи с необходимостью личного присутствия К. для подтверждения волеизъявления на сделку. Поскольку ни покупатель, ни его доверенное лицо не сообщили о способе и месте расчета за квартиру, К. полагал, что сделка не состоялась.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Впоследствии К. узнал о том, что, несмотря на поданное им заявление, управлением Росреестра без его участия произведена регистрация перехода права собственности на квартиру к Ф.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Считая решение органа регистрации прав незаконным, К. оспорил его в судебном порядке.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Суд первой инстанции, позицию которого поддержал суд апелляционной инстанции, отказал в удовлетворении требований, указав, что оспариваемое решение управления Росреестра принято в установленном законом порядке.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Суд кассационной инстанции отменил принятые по делу судебные акты и направил дело на новое рассмотрение в суд первой инстанции, указав следующее.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При представлении лицом, указанным в ЕГРН в качестве собственника объекта недвижимости, заявления о невозможности государственной регистрации перехода права собственности без его личного участия в ЕГРН в срок не более пяти рабочих дней со дня приема органом регистрации прав соответствующего заявления вносится запись о заявлении о невозможности регистрации (пункт 1 части 3 статьи 9, часть 1 статьи 36 Закона о государственной регистрации недвижимости).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Орган регистрации прав обязан возвратить заявление о государственной регистрации прав и документы, прилагаемые к нему, без рассмотрения, если в ЕГРН содержится отметка о невозможности государственной регистрации перехода права без личного участия собственника объекта недвижимости (пункт 4 статьи 25 Закона о государственной регистрации недвижимости).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Нижестоящие суды приведенные обстоятельства не проверили и не дали им надлежащей правовой оценки, в связи с чем вывод о том, что оспариваемое решение управления Росреестра принято в установленном порядке, является преждевременным.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При повторном рассмотрении судом первой инстанции удовлетворены заявленные требования К. и признано незаконным решение Управления Росреестра о государственной регистрации перехода права собственности на квартиру.</w:t>
      </w:r>
    </w:p>
    <w:p>
      <w:pPr>
        <w:spacing w:before="280" w:after="80"/>
      </w:pPr>
      <w:r>
        <w:rPr>
          <w:rFonts w:ascii="Cormorant Garamond" w:hAnsi="Cormorant Garamond"/>
          <w:b/>
          <w:color w:val="B63A26"/>
          <w:sz w:val="28"/>
        </w:rPr>
        <w:t>Иные положения акта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"Тематический обзор Верховного Суда Российской Федерации № 12/2026. По делам, связанным с оспариванием сделок, повлекших переход права собственности на жилые помещения", п. 18</w:t>
      </w:r>
    </w:p>
    <w:p>
      <w:pPr>
        <w:spacing w:before="360"/>
      </w:pPr>
      <w:r>
        <w:rPr>
          <w:rFonts w:ascii="Inter" w:hAnsi="Inter"/>
          <w:i/>
          <w:color w:val="8B8171"/>
          <w:sz w:val="15"/>
        </w:rPr>
        <w:t>Документ сформирован сервисом CasusLegal на основе официального текста судебного акта. Для использования в процессуальных целях сверяйтесь с официальными источниками опубликования.</w:t>
      </w:r>
    </w:p>
    <w:sectPr w:rsidR="00FC693F" w:rsidRPr="0006063C" w:rsidSect="00034616">
      <w:footerReference w:type="default" r:id="rId10"/>
      <w:pgSz w:w="12240" w:h="15840"/>
      <w:pgMar w:top="1157" w:right="1134" w:bottom="1157" w:left="158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762" w:val="center"/>
        <w:tab w:pos="9524" w:val="right"/>
      </w:tabs>
      <w:jc w:val="left"/>
    </w:pPr>
    <w:r>
      <w:tab/>
    </w:r>
    <w:hyperlink r:id="rId1">
      <w:r>
        <w:rPr>
          <w:rFonts w:ascii="Inter" w:hAnsi="Inter"/>
          <w:color w:val="B63A26"/>
          <w:sz w:val="16"/>
        </w:rPr>
        <w:t>@CasusLegalBot</w:t>
      </w:r>
    </w:hyperlink>
    <w:r>
      <w:tab/>
    </w:r>
    <w:r>
      <w:rPr>
        <w:rFonts w:ascii="Inter" w:hAnsi="Inter"/>
        <w:color w:val="8B8171"/>
        <w:sz w:val="24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/>
      <w:color w:val="655D5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t.me/CasusLegalB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CasusLegal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CasusLegal</Company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Тематический обзор Верховного Суда Российской Федерации № 12/2026., п. 18</dc:title>
  <dc:subject/>
  <dc:creator>CasusLegal</dc:creator>
  <cp:keywords/>
  <dc:description/>
  <cp:lastModifiedBy>CasusLegal</cp:lastModifiedBy>
  <cp:revision>1</cp:revision>
  <dcterms:created xsi:type="dcterms:W3CDTF">2026-09-26T15:13:30Z</dcterms:created>
  <dcterms:modified xsi:type="dcterms:W3CDTF">2026-09-26T15:13:30Z</dcterms:modified>
  <cp:category/>
</cp:coreProperties>
</file>