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15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213.25 Закона о банкротстве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Банкротство гражданина, Финансовый управляющий, Статья 213.25 Закона о банкротстве, Государственная регистрация перехода права, реализация имущества, Договор дарения, ЕГРН, Распоряжение имуществом должника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даты признания гражданина банкротом регистрация перехода права собственности на принадлежащее ему недвижимое имущество, полученное по договору дарения, осуществляется только на основании заявления финансового управляющего.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М. признана несостоятельной (банкротом) на основании решения арбитражного суда. В ее отношении введена процедура реализации имущества, утвержден финансовый управляющий. В ходе подготовки торгов по реализации имущества должника установлено, что М. без согласия финансового управляющего передала в дар 1/3 долю в праве общей долевой собственности на жилой дом на основании договора дарения.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Ссылаясь на изложенные обстоятельства, финансовый управляющий обратился в суд с иском о признании незаконными действий управления Росреестра по регистрации на основании договора дарения недвижимого имущества перехода права собственности на 1/3 долю жилого дома, принадлежащую М., и об аннулировании соответствующей записи в ЕГРН, как противоречащих требованиям статьи 213.25 Закона о банкротстве.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иск удовлетворен. При этом суды исходили из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даты признания гражданина банкротом все права в отношении имущества, составляющего конкурсную массу, в том числе права на распоряжение им, осуществляются только финансовым управляющим от имени гражданина и не могут осуществляться гражданином лично (абзац первый пункта 5 статьи 213.25 Закона о банкротстве).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7 статьи 213.25 Закона о банкротстве с даты признания гражданина банкротом регистрация перехода прав гражданина на имущество, в том числе на недвижимое имущество, осуществляется только на основании заявления финансового управляющего. Поданные до этой даты заявления гражданина не подлежат исполнению.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действия уполномоченного органа по регистрации перехода права собственности на недвижимое имущество по заявлению, поданному лично гражданином, признанным банкротом, не могут быть признаны правомерными.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15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15</dc:title>
  <dc:subject/>
  <dc:creator>CasusLegal</dc:creator>
  <cp:keywords/>
  <dc:description/>
  <cp:lastModifiedBy>CasusLegal</cp:lastModifiedBy>
  <cp:revision>1</cp:revision>
  <dcterms:created xsi:type="dcterms:W3CDTF">2026-09-26T15:11:43Z</dcterms:created>
  <dcterms:modified xsi:type="dcterms:W3CDTF">2026-09-26T15:11:43Z</dcterms:modified>
  <cp:category/>
</cp:coreProperties>
</file>