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52400" cy="15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LCluade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rFonts w:ascii="Cormorant Garamond" w:hAnsi="Cormorant Garamond"/>
          <w:b/>
          <w:color w:val="B63A26"/>
          <w:sz w:val="36"/>
        </w:rPr>
        <w:t>Casus</w:t>
      </w:r>
      <w:r>
        <w:rPr>
          <w:rFonts w:ascii="Cormorant Garamond" w:hAnsi="Cormorant Garamond"/>
          <w:b/>
          <w:color w:val="655D50"/>
          <w:sz w:val="36"/>
        </w:rPr>
        <w:t>Legal</w:t>
      </w:r>
    </w:p>
    <w:p>
      <w:pPr>
        <w:spacing w:before="160" w:after="120"/>
      </w:pPr>
      <w:r>
        <w:rPr>
          <w:rFonts w:ascii="Cormorant Garamond" w:hAnsi="Cormorant Garamond"/>
          <w:b/>
          <w:color w:val="3F3931"/>
          <w:sz w:val="28"/>
        </w:rPr>
        <w:t>Тематический обзор Верховного Суда Российской Федерации № 9/2026. О рассмотрении судами споров, связанных с применением таможенного законодательства, п. 24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Суд: </w:t>
      </w:r>
      <w:r>
        <w:rPr>
          <w:rFonts w:ascii="Inter" w:hAnsi="Inter"/>
          <w:color w:val="655D50"/>
          <w:sz w:val="18"/>
        </w:rPr>
        <w:t>Верховный Суд РФ (Президиум, обзор)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Дата: </w:t>
      </w:r>
      <w:r>
        <w:rPr>
          <w:rFonts w:ascii="Inter" w:hAnsi="Inter"/>
          <w:color w:val="655D50"/>
          <w:sz w:val="18"/>
        </w:rPr>
        <w:t>17.06.2026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Номер дела: </w:t>
      </w:r>
      <w:r>
        <w:rPr>
          <w:rFonts w:ascii="Inter" w:hAnsi="Inter"/>
          <w:color w:val="655D50"/>
          <w:sz w:val="18"/>
        </w:rPr>
        <w:t>12А/2026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Нормы, упомянутые в тексте: </w:t>
      </w:r>
      <w:r>
        <w:rPr>
          <w:rFonts w:ascii="Inter" w:hAnsi="Inter"/>
          <w:color w:val="655D50"/>
          <w:sz w:val="18"/>
        </w:rPr>
        <w:t>ст. 16.2 КоАП РФ, ст. 16.4 КоАП РФ, ст. 256 ТК ЕАЭС, ст. 257 ТК ЕАЭС, ст. 30.7 КоАП РФ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Теги: </w:t>
      </w:r>
      <w:r>
        <w:rPr>
          <w:rFonts w:ascii="Inter" w:hAnsi="Inter"/>
          <w:color w:val="655D50"/>
          <w:sz w:val="18"/>
        </w:rPr>
        <w:t>Административная ответственность, Недекларирование товаров, часть 1 статьи 16.2 КоАП РФ, товары для личного пользования, Статья 256 ТК ЕАЭС, критерии личного пользования, таможенная граница ЕАЭС, статья 257 ТК ЕАЭС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Позиция суда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 решении вопроса о привлечении лица к административной ответственности по части 1 статьи 16.2 КоАП РФ в связи с недекларированием товаров, перемещаемых через таможенную границу ЕАЭС, их отнесение к товарам для личного пользования должно осуществляется с учетом совокупности критериев, установленных пунктом 4 статьи 256 ТК ЕАЭС.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Постановлением судьи суда первой инстанции лицо привлечено к административной ответственности за совершение правонарушения, предусмотренного частью 1 статьи 16.2 КоАП РФ.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Согласно материалам дела лицо, прибывшее из иностранного государства в Российскую Федерацию, при прохождении таможенного контроля проследовало по «зеленому» коридору зала прилета международного аэропорта, не задекларировав в письменной форме в таможенной декларации перевозимые товары, а именно предметы одежды в количестве 48 штук.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 этом оно указывало на то, что в чемодане находились его личные вещи, перевозимые в связи с переездом из Нидерландов в Российскую Федерацию для проживания.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Из показаний свидетеля – таможенного инспектора, проводившего непосредственно досмотр багажа гражданина, следовало, что, поскольку лицо часто пересекало границу, в соответствии с пунктом 4 статьи 256 ТК ЕАЭС было принято решение о неотнесении находившихся в багаже вещей к товарам для личного пользования.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Судья суда апелляционной инстанции, оценивая указанные обстоятельства, не согласился с выводами судьи суда первой инстанции на основании следующего.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Частью 1 статьи 16.2 КоАП РФ предусмотрена административная ответственность за недекларирование по установленной форме товаров, подлежащих таможенному декларированию, за исключением случаев, предусмотренных статьей 16.4 данного кодекса19.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Применение системы двойного коридора предусматривает самостоятельный выбор физическим лицом, следующим через таможенную границу Союза, соответствующего коридора («красного» или «зеленого») для совершения (несовершения) таможенных операций, связанных с таможенным декларированием товаров для личного пользования. Пересечение физическим лицом линии входа (въезда) в «зеленый» коридор является заявлением физического лица об отсутствии товаров, подлежащих таможенному декларированию (пункты 2, 3 статьи 257 ТК ЕАЭС).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соответствии с пунктом 4 статьи 256 ТК ЕАЭС отнесение товаров, перемещаемых через таможенную границу Союза, к товарам для личного пользования осуществляется таможенным органом исходя из заявления физического лица о перемещаемых через таможенную границу Союза товарах в устной форме или в письменной форме с использованием пассажирской таможенной декларации, характера и количества товаров, частоты пересечения физическим лицом таможенной границы Союза и (или) перемещения товаров через таможенную границу Союза этим физическим лицом или в его адрес.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Критерии отнесения товаров, перемещаемых через таможенную границу Союза, к товарам для личного пользования установлены пунктом 4 статьи 256 ТК ЕАЭС, согласно которому таковыми признаются: сведения, указанные в заявлении физического лица о перемещаемых товарах; характер товаров, определяемый их потребительскими свойствами и традиционной практикой применения и использования в быту; количество товаров, которое оценивается с учетом их однородности (например, одного наименования, размера, фасона, цвета) и обычной потребности в соответствующих товарах физического лица и членов его семьи; частота пересечения физическим лицом и (или) перемещения им либо в его адрес товаров через таможенную границу (то есть количества однородных товаров и числа их перемещений за определенный период), за исключением товаров, обозначенных в пункте 6 названной статьи (абзацы третий – пятый пункта 38 постановления Пленума № 49).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Как отмечено судьей суда апелляционной инстанции, характер и количество товара, перемещаемого гражданином через зону таможенного контроля – «зеленый» коридор, оцениваемые с точки зрения его однородности (одного наименования, размера, фасона, цвета) и обычной потребности в соответствующих товарах физического лица, а также с учетом частоты его предыдущих пересечений таможенной границы с Российской Федерацией на основании представленных в материалы дела и полученных дополнительно доказательств, не свидетельствовали безусловно и достаточно о том, что выявленные в его багаже вещи не предназначены для его личного пользования.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Перевозимые вещи не имели индивидуальной упаковки, бирок с указанием фирм; вещи в основном относились к одному размеру, различались по модельному ряду, ассортименту, некоторые имели признаки эксплуатации.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 этом таможенным законодательством не установлено, какое количество ввезенных вещей может рассматриваться таможенным органом в качестве ввоза для личного пользования.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Данных о том, что ранее при пересечении границы с Российской Федерацией лицо, имеющее двойное гражданство Российской Федерации и Нидерландов, также осуществляло перевозку товаров, материалы дела не содержали.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Кроме того, отсутствовали доказательства, свидетельствующие о том, что оно вело коммерческую деятельность, в том числе связанную с реализацией одежды.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 таких обстоятельствах постановление судьи суда первой инстанции, вынесенное в отношении лица по делу об административном правонарушении, предусмотренном частью 1 статьи 16.2 КоАП РФ, отменено, производство по делу прекращено в связи с недоказанностью обстоятельств, на основании которых было вынесено постановление (пункт 3 части 1 статьи 30.7 КоАП РФ).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Иные положения акта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"Тематический обзор Верховного Суда Российской Федерации № 9/2026. О рассмотрении судами споров, связанных с применением таможенного законодательства", п. 24</w:t>
      </w:r>
    </w:p>
    <w:p>
      <w:pPr>
        <w:spacing w:before="360"/>
      </w:pPr>
      <w:r>
        <w:rPr>
          <w:rFonts w:ascii="Inter" w:hAnsi="Inter"/>
          <w:i/>
          <w:color w:val="8B8171"/>
          <w:sz w:val="15"/>
        </w:rPr>
        <w:t>Документ сформирован сервисом CasusLegal на основе официального текста судебного акта. Для использования в процессуальных целях сверяйтесь с официальными источниками опубликования.</w:t>
      </w:r>
    </w:p>
    <w:sectPr w:rsidR="00FC693F" w:rsidRPr="0006063C" w:rsidSect="00034616">
      <w:footerReference w:type="default" r:id="rId10"/>
      <w:pgSz w:w="12240" w:h="15840"/>
      <w:pgMar w:top="1157" w:right="1134" w:bottom="1157" w:left="158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762" w:val="center"/>
        <w:tab w:pos="9524" w:val="right"/>
      </w:tabs>
      <w:jc w:val="left"/>
    </w:pPr>
    <w:r>
      <w:tab/>
    </w:r>
    <w:hyperlink r:id="rId1">
      <w:r>
        <w:rPr>
          <w:rFonts w:ascii="Inter" w:hAnsi="Inter"/>
          <w:color w:val="B63A26"/>
          <w:sz w:val="16"/>
        </w:rPr>
        <w:t>@CasusLegalBot</w:t>
      </w:r>
    </w:hyperlink>
    <w:r>
      <w:tab/>
    </w:r>
    <w:r>
      <w:rPr>
        <w:rFonts w:ascii="Inter" w:hAnsi="Inter"/>
        <w:color w:val="8B8171"/>
        <w:sz w:val="24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color w:val="655D5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t.me/CasusLegalB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CasusLegal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CasusLegal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Тематический обзор Верховного Суда Российской Федерации № 9/2026. О рассмотрении судами споров, связанных с применением таможенного законодательства, п. 24</dc:title>
  <dc:subject/>
  <dc:creator>CasusLegal</dc:creator>
  <cp:keywords/>
  <dc:description/>
  <cp:lastModifiedBy>CasusLegal</cp:lastModifiedBy>
  <cp:revision>1</cp:revision>
  <dcterms:created xsi:type="dcterms:W3CDTF">2026-09-26T15:11:43Z</dcterms:created>
  <dcterms:modified xsi:type="dcterms:W3CDTF">2026-09-26T15:11:43Z</dcterms:modified>
  <cp:category/>
</cp:coreProperties>
</file>