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</w:pPr>
      <w:r>
        <w:drawing>
          <wp:inline xmlns:a="http://schemas.openxmlformats.org/drawingml/2006/main" xmlns:pic="http://schemas.openxmlformats.org/drawingml/2006/picture">
            <wp:extent cx="152400" cy="1524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LCluade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rFonts w:ascii="Cormorant Garamond" w:hAnsi="Cormorant Garamond"/>
          <w:b/>
          <w:color w:val="B63A26"/>
          <w:sz w:val="36"/>
        </w:rPr>
        <w:t>Casus</w:t>
      </w:r>
      <w:r>
        <w:rPr>
          <w:rFonts w:ascii="Cormorant Garamond" w:hAnsi="Cormorant Garamond"/>
          <w:b/>
          <w:color w:val="655D50"/>
          <w:sz w:val="36"/>
        </w:rPr>
        <w:t>Legal</w:t>
      </w:r>
    </w:p>
    <w:p>
      <w:pPr>
        <w:spacing w:before="160" w:after="120"/>
      </w:pPr>
      <w:r>
        <w:rPr>
          <w:rFonts w:ascii="Cormorant Garamond" w:hAnsi="Cormorant Garamond"/>
          <w:b/>
          <w:color w:val="3F3931"/>
          <w:sz w:val="28"/>
        </w:rPr>
        <w:t>Тематический обзор Верховного Суда Российской Федерации № 9/2026. О рассмотрении судами споров, связанных с применением таможенного законодательства, п. 14</w:t>
      </w:r>
    </w:p>
    <w:p>
      <w:pPr>
        <w:spacing w:after="40"/>
      </w:pPr>
      <w:r>
        <w:rPr>
          <w:rFonts w:ascii="Inter" w:hAnsi="Inter"/>
          <w:b/>
          <w:color w:val="8B8171"/>
          <w:sz w:val="18"/>
        </w:rPr>
        <w:t xml:space="preserve">Суд: </w:t>
      </w:r>
      <w:r>
        <w:rPr>
          <w:rFonts w:ascii="Inter" w:hAnsi="Inter"/>
          <w:color w:val="655D50"/>
          <w:sz w:val="18"/>
        </w:rPr>
        <w:t>Верховный Суд РФ (Президиум, обзор)</w:t>
      </w:r>
    </w:p>
    <w:p>
      <w:pPr>
        <w:spacing w:after="40"/>
      </w:pPr>
      <w:r>
        <w:rPr>
          <w:rFonts w:ascii="Inter" w:hAnsi="Inter"/>
          <w:b/>
          <w:color w:val="8B8171"/>
          <w:sz w:val="18"/>
        </w:rPr>
        <w:t xml:space="preserve">Дата: </w:t>
      </w:r>
      <w:r>
        <w:rPr>
          <w:rFonts w:ascii="Inter" w:hAnsi="Inter"/>
          <w:color w:val="655D50"/>
          <w:sz w:val="18"/>
        </w:rPr>
        <w:t>17.06.2026</w:t>
      </w:r>
    </w:p>
    <w:p>
      <w:pPr>
        <w:spacing w:after="40"/>
      </w:pPr>
      <w:r>
        <w:rPr>
          <w:rFonts w:ascii="Inter" w:hAnsi="Inter"/>
          <w:b/>
          <w:color w:val="8B8171"/>
          <w:sz w:val="18"/>
        </w:rPr>
        <w:t xml:space="preserve">Номер дела: </w:t>
      </w:r>
      <w:r>
        <w:rPr>
          <w:rFonts w:ascii="Inter" w:hAnsi="Inter"/>
          <w:color w:val="655D50"/>
          <w:sz w:val="18"/>
        </w:rPr>
        <w:t>12А/2026</w:t>
      </w:r>
    </w:p>
    <w:p>
      <w:pPr>
        <w:spacing w:after="40"/>
      </w:pPr>
      <w:r>
        <w:rPr>
          <w:rFonts w:ascii="Inter" w:hAnsi="Inter"/>
          <w:b/>
          <w:color w:val="8B8171"/>
          <w:sz w:val="18"/>
        </w:rPr>
        <w:t xml:space="preserve">Нормы, упомянутые в тексте: </w:t>
      </w:r>
      <w:r>
        <w:rPr>
          <w:rFonts w:ascii="Inter" w:hAnsi="Inter"/>
          <w:color w:val="655D50"/>
          <w:sz w:val="18"/>
        </w:rPr>
        <w:t>ст. 266 ТК ЕАЭС, ст. 267 ТК ЕАЭС, ст. 38 ТК ЕАЭС</w:t>
      </w:r>
    </w:p>
    <w:p>
      <w:pPr>
        <w:spacing w:after="40"/>
      </w:pPr>
      <w:r>
        <w:rPr>
          <w:rFonts w:ascii="Inter" w:hAnsi="Inter"/>
          <w:b/>
          <w:color w:val="8B8171"/>
          <w:sz w:val="18"/>
        </w:rPr>
        <w:t xml:space="preserve">Теги: </w:t>
      </w:r>
      <w:r>
        <w:rPr>
          <w:rFonts w:ascii="Inter" w:hAnsi="Inter"/>
          <w:color w:val="655D50"/>
          <w:sz w:val="18"/>
        </w:rPr>
        <w:t>товары для личного пользования, Таможенная стоимость, Бремя доказывания, Корректировка таможенной стоимости, статья 266 ТК ЕАЭС, статья 267 ТК ЕАЭС, Статья 38 ТК ЕАЭС, обязанность таможенного органа</w:t>
      </w:r>
    </w:p>
    <w:p>
      <w:pPr>
        <w:spacing w:before="280" w:after="80"/>
      </w:pPr>
      <w:r>
        <w:rPr>
          <w:rFonts w:ascii="Cormorant Garamond" w:hAnsi="Cormorant Garamond"/>
          <w:b/>
          <w:color w:val="B63A26"/>
          <w:sz w:val="28"/>
        </w:rPr>
        <w:t>Позиция суда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Бремя доказывания необходимости корректировки заявленной в декларации таможенной стоимости товара, ввезенного для личного пользования, возлагается на таможенный орган.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На таможенный пост таможенным представителем подана пассажирская таможенная декларация, в которой для личного пользования задекларировано транспортное средство BMW Х6, 2020 года выпуска, с таможенной стоимостью 57 775 долларов США.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В ходе проведения контрольных мероприятий таможенный орган проанализировал данные сайта международного интернет-аукциона по продаже автомобилей и установил, что спорный автомобиль мог быть продан за 150 000 долларов США. Указанная информация послужила основанием для корректировки таможенной стоимости и вынесения решения и уведомления о неоплаченных в установленный срок суммах таможенных платежей.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Принятое таможенным органом решение и направленное им уведомление оспорены таможенным представителем в судебном порядке.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Решением суда первой инстанции заявленное требование удовлетворено, поскольку таможенным представителем представлены все необходимые документы, подтверждающие таможенную стоимость.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Суд апелляционной инстанции, с выводами которого согласился суд кассационной инстанции, отменил решение суда первой инстанции и отказал в удовлетворении заявления, посчитав, что полученные таможенным органом данные сайта международного интернет-аукциона являются основанием для корректировки таможенной стоимости, заявленной таможенным представителем.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Судебная коллегия Верховного Суда Российской Федерации отменила постановления судов апелляционной и кассационной инстанций и оставила в силе решение суда первой инстанции, указав следующее.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Принимая ТК ЕАЭС, государства − члены Союза учитывали не только особенности осуществления предпринимательской деятельности на территории Союза, но и активное участие физических лиц в международной торговле с целью приобретения товаров для личного пользования.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Исходя из целей ввоза товаров для личного пользования и статуса покупателей таких товаров нормами ТК ЕАЭС установлен упрощенный порядок перемещения через таможенную границу Союза указанных товаров (глава 37 ТК ЕАЭС), а именно предусмотрены особенности декларирования товаров (в том числе транспортных средств), уплаты таможенных платежей, выпуска товаров.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Отдельное закрепление в ТК ЕАЭС правил определения стоимости товаров, ввозимых для личного пользования, связано с тем, что покупатели таких товаров не являются лицами, осуществляющими предпринимательскую деятельность, и в силу обычаев делового оборота ограничены в возможности представления документов, в том числе коммерческих.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Согласно положениям пункта 1 статьи 267 ТК ЕАЭС для подтверждения стоимости товаров для личного пользования физическим лицом представляются оригиналы документов, на основании которых заявлена стоимость товаров для личного пользования, а в отношении товаров для личного пользования, доставляемых перевозчиком, − оригиналы документов либо их копии.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При этом дополнительно физическим лицом могут быть представлены прайс-листы, каталоги, рекламные проспекты и буклеты иностранных организаций, осуществляющих розничную продажу аналогичных товаров (пункт 2 статьи 267 ТК ЕАЭС).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При разрешении споров, связанных с перемещением физическими лицами через таможенную границу Союза товаров для личного пользования, не применяются общие положения о таможенной стоимости ввозимых товаров, установленные главой 5 ТК ЕАЭС, стоимость товаров для личного пользования определяется по правилам, установленным статьей 267 ТК ЕАЭС (пункт 40 постановления Пленума № 49).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Следовательно, в случае несогласия со сведениями, представленными декларантом, бремя доказывания того обстоятельства, что заявленная величина таможенной стоимости не может быть использована для исчисления таможенных пошлин и должна быть скорректирована, возлагается на таможенный орган.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В основу вывода о недостоверной стоимости ввезенного для личного пользования товара таможенным органом положено единственное доказательство − информация с сайта международного интернет-аукциона. При этом таможенным органом не дана надлежащая оценка представленной переписке с администрацией сайта, из содержания которой следует, что администрация сайта не смогла сообщить сведения об автомобиле ввиду отсутствия информации о причине установления цены в размере 150 000 долларов США, а также не подтвердила сам факт продажи автомобиля через данный сайт; автомобиль до настоящего времени находится в статусе «продается».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Кроме того, согласно информации, полученной от официального дилера производителя автомобилей, цена нового автомобиля данной модели в рассматриваемый период составляла не более 100 000 долларов США, следовательно, покупка бывшего в употреблении автомобиля за 150 000 долларов США не имела бы экономического смысла.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Суды не учли изложенное и исходили только из допустимости использования таможенным органом в качестве информации о стоимости товара для личного пользования сведений, указанных в каталогах и на сайтах иностранных организаций (пункт 4 статьи 267 ТК ЕАЭС), однако из содержания данной нормы не следует, что такие сведения являются исчерпывающими доказательствами.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В другом деле таможенный орган обратился в суд с требованием к лицу о взыскании задолженности по уплате дополнительно начисленных таможенных платежей, пеней.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Решением суда первой инстанции, оставленным без изменения судами апелляционной и кассационной инстанций, требование таможенного органа удовлетворено. Доначисленные таможенным органом таможенные платежи взысканы судом на основании вывода о том, что заявленная декларантом стоимость ввезенного автомобиля не соответствовала фактической таможенной стоимости транспортного средства.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Судебная коллегия Верховного Суда Российской Федерации принятые по делу судебные акты отменила, направила дело на новое рассмотрение, руководствуясь следующим.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Таможенным представителем подана пассажирская таможенная декларация на товар – автомобиль, 2021 года выпуска. За ввезенный товар уплачена таможенная пошлина, транспортное средство выпущено в свободное обращение.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В решении по результатам проверки документов и сведений после выпуска товаров и (или) транспортных средств, проведенной таможенным органом в соответствии со статьей 267 ТК ЕАЭС, указано, что согласно информации, размещенной в информационно-телекоммуникационной сети «Интернет» , автомобиль продан по цене, которая значительно выше заявленной стоимости.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В силу пункта 10 статьи 38 ТК ЕАЭС таможенная стоимость ввозимых товаров и сведения, относящиеся к ее определению, должны основываться на достоверной, количественно определяемой и документально подтвержденной информации.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Обязанность заявления таможенному органу полных и достоверных сведений о товарах для личного пользования, необходимых для определения суммы таможенных платежей, подлежащих уплате, возлагается на декларанта (пункт 25 статьи 266 ТК ЕАЭС).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Принимая во внимание публичный характер таможенных правоотношений, при оценке соблюдения декларантом данных требований ТК ЕАЭС судам следует исходить из презумпции достоверности информации (документов, сведений), представленной декларантом в ходе таможенного контроля, бремя опровержения которой лежит на таможенном органе (пункт 8 постановления Пленума № 49).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В обоснование таможенной стоимости декларант представил контракт, заключенный им с иностранной компанией, на приобретение автомобиля, счет, чек, выписку из лицевого счета в банке за период, в котором была совершена оплата автомобиля, переписку с банком.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Кроме того, согласно информации иностранной компании-продавца, полученной таможенным органом в ходе мероприятий таможенного контроля, автомобиль попал в серьезную аварию и в течение долгого времени находился в ремонте, что явилось основной причиной, по которой владелец автомобиля существенно снизил его цену.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В материалы дела лицом представлено экспертное заключение организации, согласно которому транспортное средство подвергалось ремонтным воздействиям, которые повлияли на рыночную стоимость транспортного средства с ее понижением минимум на 25 %.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Между тем в качестве единственного доказательства занижения декларантом таможенной стоимости транспортного средства таможенный орган представил в материалы дела снимок экрана компьютера на бумажном носителе, содержащий указание адреса интернет-страницы, на которой размещена информация о том, что на торговой площадке выставлялся на продажу автомобиль той же марки и модели, но 2022 года выпуска.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Такой автомобиль не мог быть признан аналогичным транспортным средством применительно к пункту 3 статьи 267 ТК ЕАЭС, поскольку ввезенный лицом автомобиль выпущен в 2021 году.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При этом таможенным органом не учтено, что приведенная им в сравнение цена автомобиля с сайта в сети «Интернет» не является окончательной. Итоговая цена такого автомобиля формируется с учетом стоимости его доставки заказчику, расходов на оформление документов, сборов за участие в аукционе.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Указанные обстоятельства свидетельствуют о том, что корректировка таможенной стоимости приобретенного декларантом автомобиля с учетом информации, полученной таможенным органом в сети «Интернет», является необоснованной и неправомерной.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Следовательно, доводы декларанта и достоверность той информации (документов, сведений) о стоимости автомобиля, которую он представил в ходе мероприятий таможенного контроля, таможенным органом не опровергнуты.</w:t>
      </w:r>
    </w:p>
    <w:p>
      <w:pPr>
        <w:spacing w:before="280" w:after="80"/>
      </w:pPr>
      <w:r>
        <w:rPr>
          <w:rFonts w:ascii="Cormorant Garamond" w:hAnsi="Cormorant Garamond"/>
          <w:b/>
          <w:color w:val="B63A26"/>
          <w:sz w:val="28"/>
        </w:rPr>
        <w:t>Иные положения акта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"Тематический обзор Верховного Суда Российской Федерации № 9/2026. О рассмотрении судами споров, связанных с применением таможенного законодательства", п. 14</w:t>
      </w:r>
    </w:p>
    <w:p>
      <w:pPr>
        <w:spacing w:before="360"/>
      </w:pPr>
      <w:r>
        <w:rPr>
          <w:rFonts w:ascii="Inter" w:hAnsi="Inter"/>
          <w:i/>
          <w:color w:val="8B8171"/>
          <w:sz w:val="15"/>
        </w:rPr>
        <w:t>Документ сформирован сервисом CasusLegal на основе официального текста судебного акта. Для использования в процессуальных целях сверяйтесь с официальными источниками опубликования.</w:t>
      </w:r>
    </w:p>
    <w:sectPr w:rsidR="00FC693F" w:rsidRPr="0006063C" w:rsidSect="00034616">
      <w:footerReference w:type="default" r:id="rId10"/>
      <w:pgSz w:w="12240" w:h="15840"/>
      <w:pgMar w:top="1157" w:right="1134" w:bottom="1157" w:left="158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4762" w:val="center"/>
        <w:tab w:pos="9524" w:val="right"/>
      </w:tabs>
      <w:jc w:val="left"/>
    </w:pPr>
    <w:r>
      <w:tab/>
    </w:r>
    <w:hyperlink r:id="rId1">
      <w:r>
        <w:rPr>
          <w:rFonts w:ascii="Inter" w:hAnsi="Inter"/>
          <w:color w:val="B63A26"/>
          <w:sz w:val="16"/>
        </w:rPr>
        <w:t>@CasusLegalBot</w:t>
      </w:r>
    </w:hyperlink>
    <w:r>
      <w:tab/>
    </w:r>
    <w:r>
      <w:rPr>
        <w:rFonts w:ascii="Inter" w:hAnsi="Inter"/>
        <w:color w:val="8B8171"/>
        <w:sz w:val="24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nter" w:hAnsi="Inter"/>
      <w:color w:val="655D5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t.me/CasusLegalB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CasusLegal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CasusLegal</Company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Тематический обзор Верховного Суда Российской Федерации № 9/2026. О рассмотрении судами споров, связанных с применением таможенного законодательства, п. 14</dc:title>
  <dc:subject/>
  <dc:creator>CasusLegal</dc:creator>
  <cp:keywords/>
  <dc:description/>
  <cp:lastModifiedBy>CasusLegal</cp:lastModifiedBy>
  <cp:revision>1</cp:revision>
  <dcterms:created xsi:type="dcterms:W3CDTF">2026-09-26T15:13:02Z</dcterms:created>
  <dcterms:modified xsi:type="dcterms:W3CDTF">2026-09-26T15:13:02Z</dcterms:modified>
  <cp:category/>
</cp:coreProperties>
</file>