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Тематический обзор Верховного Суда Российской Федерации № 9/2026. О рассмотрении судами споров, связанных с применением таможенного законодательства, п. 12</w:t>
      </w:r>
    </w:p>
    <w:p>
      <w:pPr>
        <w:spacing w:after="40"/>
      </w:pPr>
      <w:r>
        <w:rPr>
          <w:rFonts w:ascii="Inter" w:hAnsi="Inter"/>
          <w:b/>
          <w:color w:val="8B8171"/>
          <w:sz w:val="18"/>
        </w:rPr>
        <w:t xml:space="preserve">Суд: </w:t>
      </w:r>
      <w:r>
        <w:rPr>
          <w:rFonts w:ascii="Inter" w:hAnsi="Inter"/>
          <w:color w:val="655D50"/>
          <w:sz w:val="18"/>
        </w:rPr>
        <w:t>Верховный Суд РФ (Президиум, обзор)</w:t>
      </w:r>
    </w:p>
    <w:p>
      <w:pPr>
        <w:spacing w:after="40"/>
      </w:pPr>
      <w:r>
        <w:rPr>
          <w:rFonts w:ascii="Inter" w:hAnsi="Inter"/>
          <w:b/>
          <w:color w:val="8B8171"/>
          <w:sz w:val="18"/>
        </w:rPr>
        <w:t xml:space="preserve">Дата: </w:t>
      </w:r>
      <w:r>
        <w:rPr>
          <w:rFonts w:ascii="Inter" w:hAnsi="Inter"/>
          <w:color w:val="655D50"/>
          <w:sz w:val="18"/>
        </w:rPr>
        <w:t>17.06.2026</w:t>
      </w:r>
    </w:p>
    <w:p>
      <w:pPr>
        <w:spacing w:after="40"/>
      </w:pPr>
      <w:r>
        <w:rPr>
          <w:rFonts w:ascii="Inter" w:hAnsi="Inter"/>
          <w:b/>
          <w:color w:val="8B8171"/>
          <w:sz w:val="18"/>
        </w:rPr>
        <w:t xml:space="preserve">Номер дела: </w:t>
      </w:r>
      <w:r>
        <w:rPr>
          <w:rFonts w:ascii="Inter" w:hAnsi="Inter"/>
          <w:color w:val="655D50"/>
          <w:sz w:val="18"/>
        </w:rPr>
        <w:t>12А/2026</w:t>
      </w:r>
    </w:p>
    <w:p>
      <w:pPr>
        <w:spacing w:after="40"/>
      </w:pPr>
      <w:r>
        <w:rPr>
          <w:rFonts w:ascii="Inter" w:hAnsi="Inter"/>
          <w:b/>
          <w:color w:val="8B8171"/>
          <w:sz w:val="18"/>
        </w:rPr>
        <w:t xml:space="preserve">Нормы, упомянутые в тексте: </w:t>
      </w:r>
      <w:r>
        <w:rPr>
          <w:rFonts w:ascii="Inter" w:hAnsi="Inter"/>
          <w:color w:val="655D50"/>
          <w:sz w:val="18"/>
        </w:rPr>
        <w:t>ст. 176 ТК ЕАЭС, ст. 186 ТК ЕАЭС</w:t>
      </w:r>
    </w:p>
    <w:p>
      <w:pPr>
        <w:spacing w:after="40"/>
      </w:pPr>
      <w:r>
        <w:rPr>
          <w:rFonts w:ascii="Inter" w:hAnsi="Inter"/>
          <w:b/>
          <w:color w:val="8B8171"/>
          <w:sz w:val="18"/>
        </w:rPr>
        <w:t xml:space="preserve">Теги: </w:t>
      </w:r>
      <w:r>
        <w:rPr>
          <w:rFonts w:ascii="Inter" w:hAnsi="Inter"/>
          <w:color w:val="655D50"/>
          <w:sz w:val="18"/>
        </w:rPr>
        <w:t>Переработка вне таможенной территории, ремонт и техническое обслуживание, Таможенная стоимость, Статья 186 ТК ЕАЭС, статья 176 ТК ЕАЭС, стоимость произведенных работ, ввоз после ремонта, таможенные платежи</w:t>
      </w:r>
    </w:p>
    <w:p>
      <w:pPr>
        <w:spacing w:before="280" w:after="80"/>
      </w:pPr>
      <w:r>
        <w:rPr>
          <w:rFonts w:ascii="Cormorant Garamond" w:hAnsi="Cormorant Garamond"/>
          <w:b/>
          <w:color w:val="B63A26"/>
          <w:sz w:val="28"/>
        </w:rPr>
        <w:t>Позиция суда</w:t>
      </w:r>
    </w:p>
    <w:p>
      <w:pPr>
        <w:widowControl/>
        <w:spacing w:after="280" w:line="312" w:lineRule="auto"/>
        <w:ind w:firstLine="567"/>
        <w:jc w:val="both"/>
      </w:pPr>
      <w:r>
        <w:rPr>
          <w:rFonts w:ascii="Inter" w:hAnsi="Inter"/>
          <w:color w:val="655D50"/>
          <w:sz w:val="24"/>
        </w:rPr>
        <w:t>При ввозе на таможенную территорию Союза товара после произведенного ремонта или технического обслуживания в качестве таможенной стоимости подлежит принятию стоимость произведенных работ.</w:t>
      </w:r>
    </w:p>
    <w:p>
      <w:pPr>
        <w:widowControl/>
        <w:spacing w:after="280" w:line="312" w:lineRule="auto"/>
        <w:ind w:firstLine="567"/>
        <w:jc w:val="both"/>
      </w:pPr>
      <w:r>
        <w:rPr>
          <w:rFonts w:ascii="Inter" w:hAnsi="Inter"/>
          <w:color w:val="655D50"/>
          <w:sz w:val="24"/>
        </w:rPr>
        <w:t>Федеральным государственным унитарным предприятием (декларант), заключившим с иностранной компанией договор на техническое обслуживание воздушных судов, под таможенную процедуру переработки вне таможенной территории по декларации на товары помещен самолет гражданской авиации и двигатели к нему. С целью завершения данной таможенной процедуры воздушное судно помещено декларантом под таможенную процедуру выпуска для внутреннего потребления.</w:t>
      </w:r>
    </w:p>
    <w:p>
      <w:pPr>
        <w:widowControl/>
        <w:spacing w:after="280" w:line="312" w:lineRule="auto"/>
        <w:ind w:firstLine="567"/>
        <w:jc w:val="both"/>
      </w:pPr>
      <w:r>
        <w:rPr>
          <w:rFonts w:ascii="Inter" w:hAnsi="Inter"/>
          <w:color w:val="655D50"/>
          <w:sz w:val="24"/>
        </w:rPr>
        <w:t>По результатам проведенной камеральной проверки таможенным органом принято решение и направлено декларанту уведомление об уплате таможенных платежей.</w:t>
      </w:r>
    </w:p>
    <w:p>
      <w:pPr>
        <w:widowControl/>
        <w:spacing w:after="280" w:line="312" w:lineRule="auto"/>
        <w:ind w:firstLine="567"/>
        <w:jc w:val="both"/>
      </w:pPr>
      <w:r>
        <w:rPr>
          <w:rFonts w:ascii="Inter" w:hAnsi="Inter"/>
          <w:color w:val="655D50"/>
          <w:sz w:val="24"/>
        </w:rPr>
        <w:t>Не согласившись с результатами проверки, декларант обратился в суд с заявлением о признании актов таможенного органа недействительными.</w:t>
      </w:r>
    </w:p>
    <w:p>
      <w:pPr>
        <w:widowControl/>
        <w:spacing w:after="280" w:line="312" w:lineRule="auto"/>
        <w:ind w:firstLine="567"/>
        <w:jc w:val="both"/>
      </w:pPr>
      <w:r>
        <w:rPr>
          <w:rFonts w:ascii="Inter" w:hAnsi="Inter"/>
          <w:color w:val="655D50"/>
          <w:sz w:val="24"/>
        </w:rPr>
        <w:t>Решением суда первой инстанции, оставленным без изменения судами апелляционной и кассационной инстанций, в удовлетворении заявленных требований отказано.</w:t>
      </w:r>
    </w:p>
    <w:p>
      <w:pPr>
        <w:widowControl/>
        <w:spacing w:after="280" w:line="312" w:lineRule="auto"/>
        <w:ind w:firstLine="567"/>
        <w:jc w:val="both"/>
      </w:pPr>
      <w:r>
        <w:rPr>
          <w:rFonts w:ascii="Inter" w:hAnsi="Inter"/>
          <w:color w:val="655D50"/>
          <w:sz w:val="24"/>
        </w:rPr>
        <w:t>Отменяя состоявшиеся по делу судебные акты и направляя дело на новое рассмотрение, Судебная коллегия Верховного Суда Российской Федерации указала на следующее.</w:t>
      </w:r>
    </w:p>
    <w:p>
      <w:pPr>
        <w:widowControl/>
        <w:spacing w:after="280" w:line="312" w:lineRule="auto"/>
        <w:ind w:firstLine="567"/>
        <w:jc w:val="both"/>
      </w:pPr>
      <w:r>
        <w:rPr>
          <w:rFonts w:ascii="Inter" w:hAnsi="Inter"/>
          <w:color w:val="655D50"/>
          <w:sz w:val="24"/>
        </w:rPr>
        <w:t>Согласно пункту 1 статьи 176 ТК ЕАЭС в рамках таможенной процедуры переработки вне таможенной территории товары Союза вывозятся с таможенной территории ЕАЭС в целях получения в результате совершения операций по переработке вне таможенной территории ЕАЭС продуктов их переработки, предназначенных для последующего ввоза на таможенную территорию ЕАЭС, без уплаты в отношении таких товаров Союза вывозных таможенных пошлин.</w:t>
      </w:r>
    </w:p>
    <w:p>
      <w:pPr>
        <w:widowControl/>
        <w:spacing w:after="280" w:line="312" w:lineRule="auto"/>
        <w:ind w:firstLine="567"/>
        <w:jc w:val="both"/>
      </w:pPr>
      <w:r>
        <w:rPr>
          <w:rFonts w:ascii="Inter" w:hAnsi="Inter"/>
          <w:color w:val="655D50"/>
          <w:sz w:val="24"/>
        </w:rPr>
        <w:t>В соответствии с пунктами 1, 2 статьи 186 ТК ЕАЭС при помещении продуктов переработки под таможенную процедуру выпуска для внутреннего потребления ввозные таможенные пошлины исчисляются исходя из стоимости операций по переработке вне таможенной территории ЕАЭС. Стоимость указанных операций определяется как совокупность фактически понесенных расходов на: операции по переработке (ремонту); иностранные товары, использованные в процессе переработки (ремонта), если они не включены в расходы на операции по переработке (ремонту).</w:t>
      </w:r>
    </w:p>
    <w:p>
      <w:pPr>
        <w:widowControl/>
        <w:spacing w:after="280" w:line="312" w:lineRule="auto"/>
        <w:ind w:firstLine="567"/>
        <w:jc w:val="both"/>
      </w:pPr>
      <w:r>
        <w:rPr>
          <w:rFonts w:ascii="Inter" w:hAnsi="Inter"/>
          <w:color w:val="655D50"/>
          <w:sz w:val="24"/>
        </w:rPr>
        <w:t>Таким образом, при ввозе и выпуске для внутреннего потребления товара, ранее вывезенного для переработки, в том числе для ремонта (замены составных частей), в качестве таможенной стоимости принимается не стоимость самого товара, а стоимость его переработки.</w:t>
      </w:r>
    </w:p>
    <w:p>
      <w:pPr>
        <w:widowControl/>
        <w:spacing w:after="280" w:line="312" w:lineRule="auto"/>
        <w:ind w:firstLine="567"/>
        <w:jc w:val="both"/>
      </w:pPr>
      <w:r>
        <w:rPr>
          <w:rFonts w:ascii="Inter" w:hAnsi="Inter"/>
          <w:color w:val="655D50"/>
          <w:sz w:val="24"/>
        </w:rPr>
        <w:t>Как следует из материалов дела, в ходе проведенного иностранной компанией технического обслуживания воздушного судна на нем вместо ранее установленных двигателей были установлены подменные двигатели.</w:t>
      </w:r>
    </w:p>
    <w:p>
      <w:pPr>
        <w:widowControl/>
        <w:spacing w:after="280" w:line="312" w:lineRule="auto"/>
        <w:ind w:firstLine="567"/>
        <w:jc w:val="both"/>
      </w:pPr>
      <w:r>
        <w:rPr>
          <w:rFonts w:ascii="Inter" w:hAnsi="Inter"/>
          <w:color w:val="655D50"/>
          <w:sz w:val="24"/>
        </w:rPr>
        <w:t>Таможенные платежи за подменные двигатели доначислены исходя из таможенной стоимости, определенной таможенным органом на основании информации о стоимости для бывших в эксплуатации и годных к использованию двигателей, указанной в письме производителя авиационных двигателей данной модели.</w:t>
      </w:r>
    </w:p>
    <w:p>
      <w:pPr>
        <w:widowControl/>
        <w:spacing w:after="280" w:line="312" w:lineRule="auto"/>
        <w:ind w:firstLine="567"/>
        <w:jc w:val="both"/>
      </w:pPr>
      <w:r>
        <w:rPr>
          <w:rFonts w:ascii="Inter" w:hAnsi="Inter"/>
          <w:color w:val="655D50"/>
          <w:sz w:val="24"/>
        </w:rPr>
        <w:t>Однако в ситуации, когда временная установка деталей представляла собой часть процедуры по техническому обслуживанию и ремонту воздушного судна, при таможенном оформлении воздушного судна его таможенная стоимость подлежала определению исходя из стоимости выполненных работ, включая стоимость пользования временными деталями, если таковая подлежала уплате. Взимание таможенных платежей в размере, исчисленном от стоимости деталей, установленных на временной основе в рамках переработки (ремонта) товара, не основано на законе и не имеет под собой экономического основания.</w:t>
      </w:r>
    </w:p>
    <w:p>
      <w:pPr>
        <w:widowControl/>
        <w:spacing w:after="280" w:line="312" w:lineRule="auto"/>
        <w:ind w:firstLine="567"/>
        <w:jc w:val="both"/>
      </w:pPr>
      <w:r>
        <w:rPr>
          <w:rFonts w:ascii="Inter" w:hAnsi="Inter"/>
          <w:color w:val="655D50"/>
          <w:sz w:val="24"/>
        </w:rPr>
        <w:t>II. Перемещение через таможенную границу ЕАЭС</w:t>
      </w:r>
    </w:p>
    <w:p>
      <w:pPr>
        <w:widowControl/>
        <w:spacing w:after="280" w:line="312" w:lineRule="auto"/>
        <w:ind w:firstLine="567"/>
        <w:jc w:val="both"/>
      </w:pPr>
      <w:r>
        <w:rPr>
          <w:rFonts w:ascii="Inter" w:hAnsi="Inter"/>
          <w:color w:val="655D50"/>
          <w:sz w:val="24"/>
        </w:rPr>
        <w:t>товаров для личного пользования</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"Тематический обзор Верховного Суда Российской Федерации № 9/2026. О рассмотрении судами споров, связанных с применением таможенного законодательства", п. 12</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Тематический обзор Верховного Суда Российской Федерации № 9/2026. О рассмотрении судами споров, связанных с применением таможенного законодательства, п. 12</dc:title>
  <dc:subject/>
  <dc:creator>CasusLegal</dc:creator>
  <cp:keywords/>
  <dc:description/>
  <cp:lastModifiedBy>CasusLegal</cp:lastModifiedBy>
  <cp:revision>1</cp:revision>
  <dcterms:created xsi:type="dcterms:W3CDTF">2026-09-26T15:10:52Z</dcterms:created>
  <dcterms:modified xsi:type="dcterms:W3CDTF">2026-09-26T15:10:52Z</dcterms:modified>
  <cp:category/>
</cp:coreProperties>
</file>